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jc w:val="center"/>
        <w:rPr>
          <w:rFonts w:ascii="標楷體" w:hAnsi="標楷體" w:eastAsia="標楷體"/>
          <w:b/>
          <w:b/>
          <w:bCs/>
          <w:sz w:val="32"/>
          <w:szCs w:val="32"/>
        </w:rPr>
      </w:pPr>
      <w:bookmarkStart w:id="0" w:name="__DdeLink__78_1698970167"/>
      <w:r>
        <w:rPr>
          <w:rFonts w:ascii="標楷體" w:hAnsi="標楷體" w:eastAsia="標楷體"/>
          <w:b/>
          <w:bCs/>
          <w:sz w:val="32"/>
          <w:szCs w:val="32"/>
        </w:rPr>
        <w:t>職場霸凌申訴案件受理與否書面審查意見書</w:t>
      </w:r>
      <w:r>
        <w:rPr>
          <w:rFonts w:eastAsia="標楷體" w:ascii="標楷體" w:hAnsi="標楷體"/>
          <w:b/>
          <w:bCs/>
          <w:sz w:val="32"/>
          <w:szCs w:val="32"/>
        </w:rPr>
        <w:t>(</w:t>
      </w:r>
      <w:r>
        <w:rPr>
          <w:rFonts w:ascii="標楷體" w:hAnsi="標楷體" w:eastAsia="標楷體"/>
          <w:b/>
          <w:bCs/>
          <w:sz w:val="32"/>
          <w:szCs w:val="32"/>
        </w:rPr>
        <w:t>範本</w:t>
      </w:r>
      <w:r>
        <w:rPr>
          <w:rFonts w:eastAsia="標楷體" w:ascii="標楷體" w:hAnsi="標楷體"/>
          <w:b/>
          <w:bCs/>
          <w:sz w:val="32"/>
          <w:szCs w:val="32"/>
        </w:rPr>
        <w:t>)</w:t>
      </w:r>
      <w:bookmarkEnd w:id="0"/>
    </w:p>
    <w:p>
      <w:pPr>
        <w:pStyle w:val="Style20"/>
        <w:spacing w:lineRule="exact" w:line="440"/>
        <w:ind w:firstLine="700"/>
        <w:jc w:val="distribute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依公務人員執行職務安全及衛生防護辦法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以下簡稱安衛辦法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第</w:t>
      </w:r>
      <w:r>
        <w:rPr>
          <w:rFonts w:eastAsia="標楷體" w:ascii="標楷體" w:hAnsi="標楷體"/>
          <w:sz w:val="28"/>
          <w:szCs w:val="28"/>
        </w:rPr>
        <w:t>33</w:t>
      </w:r>
      <w:r>
        <w:rPr>
          <w:rFonts w:ascii="標楷體" w:hAnsi="標楷體" w:eastAsia="標楷體"/>
          <w:sz w:val="28"/>
          <w:szCs w:val="28"/>
        </w:rPr>
        <w:t>條第</w:t>
      </w:r>
      <w:r>
        <w:rPr>
          <w:rFonts w:eastAsia="標楷體" w:ascii="標楷體" w:hAnsi="標楷體"/>
          <w:sz w:val="28"/>
          <w:szCs w:val="28"/>
        </w:rPr>
        <w:t>1</w:t>
      </w:r>
      <w:r>
        <w:rPr>
          <w:rFonts w:ascii="標楷體" w:hAnsi="標楷體" w:eastAsia="標楷體"/>
          <w:sz w:val="28"/>
          <w:szCs w:val="28"/>
        </w:rPr>
        <w:t>項規定：「職場霸凌之申訴有下列情形之一者，接獲申訴之機關應不予受理：一、非屬本辦法所稱職場霸凌事項。二、無具體之內容。三、申訴人未具真實姓名或足以識別其身分之資訊。四、同一事件已不受理或已作成終局實體處理。五、申訴事件已撤回申訴。六、已逾申訴期限。」復依公務人員保障暨培訓委員會民國</w:t>
      </w:r>
      <w:r>
        <w:rPr>
          <w:rFonts w:eastAsia="標楷體" w:ascii="標楷體" w:hAnsi="標楷體"/>
          <w:sz w:val="28"/>
          <w:szCs w:val="28"/>
        </w:rPr>
        <w:t>114</w:t>
      </w:r>
      <w:r>
        <w:rPr>
          <w:rFonts w:ascii="標楷體" w:hAnsi="標楷體" w:eastAsia="標楷體"/>
          <w:sz w:val="28"/>
          <w:szCs w:val="28"/>
        </w:rPr>
        <w:t>年</w:t>
      </w:r>
      <w:r>
        <w:rPr>
          <w:rFonts w:eastAsia="標楷體" w:ascii="標楷體" w:hAnsi="標楷體"/>
          <w:sz w:val="28"/>
          <w:szCs w:val="28"/>
        </w:rPr>
        <w:t>9</w:t>
      </w:r>
      <w:r>
        <w:rPr>
          <w:rFonts w:ascii="標楷體" w:hAnsi="標楷體" w:eastAsia="標楷體"/>
          <w:sz w:val="28"/>
          <w:szCs w:val="28"/>
        </w:rPr>
        <w:t>月</w:t>
      </w:r>
      <w:r>
        <w:rPr>
          <w:rFonts w:eastAsia="標楷體" w:ascii="標楷體" w:hAnsi="標楷體"/>
          <w:sz w:val="28"/>
          <w:szCs w:val="28"/>
        </w:rPr>
        <w:t>9</w:t>
      </w:r>
      <w:r>
        <w:rPr>
          <w:rFonts w:ascii="標楷體" w:hAnsi="標楷體" w:eastAsia="標楷體"/>
          <w:sz w:val="28"/>
          <w:szCs w:val="28"/>
        </w:rPr>
        <w:t>日公保字第</w:t>
      </w:r>
      <w:r>
        <w:rPr>
          <w:rFonts w:eastAsia="標楷體" w:ascii="標楷體" w:hAnsi="標楷體"/>
          <w:sz w:val="28"/>
          <w:szCs w:val="28"/>
        </w:rPr>
        <w:t>1141060213</w:t>
      </w:r>
      <w:r>
        <w:rPr>
          <w:rFonts w:ascii="標楷體" w:hAnsi="標楷體" w:eastAsia="標楷體"/>
          <w:sz w:val="28"/>
          <w:szCs w:val="28"/>
        </w:rPr>
        <w:t>號函以，職場霸凌申訴案件如為：</w:t>
      </w:r>
      <w:r>
        <w:rPr>
          <w:rFonts w:eastAsia="標楷體" w:ascii="標楷體" w:hAnsi="標楷體"/>
          <w:sz w:val="28"/>
          <w:szCs w:val="28"/>
        </w:rPr>
        <w:t>1.</w:t>
      </w:r>
      <w:r>
        <w:rPr>
          <w:rFonts w:ascii="標楷體" w:hAnsi="標楷體" w:eastAsia="標楷體"/>
          <w:sz w:val="28"/>
          <w:szCs w:val="28"/>
        </w:rPr>
        <w:t>非屬第</w:t>
      </w:r>
      <w:r>
        <w:rPr>
          <w:rFonts w:eastAsia="標楷體" w:ascii="標楷體" w:hAnsi="標楷體"/>
          <w:sz w:val="28"/>
          <w:szCs w:val="28"/>
        </w:rPr>
        <w:t>33</w:t>
      </w:r>
      <w:r>
        <w:rPr>
          <w:rFonts w:ascii="標楷體" w:hAnsi="標楷體" w:eastAsia="標楷體"/>
          <w:sz w:val="28"/>
          <w:szCs w:val="28"/>
        </w:rPr>
        <w:t>條第</w:t>
      </w:r>
      <w:r>
        <w:rPr>
          <w:rFonts w:eastAsia="標楷體" w:ascii="標楷體" w:hAnsi="標楷體"/>
          <w:sz w:val="28"/>
          <w:szCs w:val="28"/>
        </w:rPr>
        <w:t>1</w:t>
      </w:r>
      <w:r>
        <w:rPr>
          <w:rFonts w:ascii="標楷體" w:hAnsi="標楷體" w:eastAsia="標楷體"/>
          <w:sz w:val="28"/>
          <w:szCs w:val="28"/>
        </w:rPr>
        <w:t>項各款情形而應予受理者。</w:t>
      </w:r>
      <w:r>
        <w:rPr>
          <w:rFonts w:eastAsia="標楷體" w:ascii="標楷體" w:hAnsi="標楷體"/>
          <w:sz w:val="28"/>
          <w:szCs w:val="28"/>
        </w:rPr>
        <w:t>2.</w:t>
      </w:r>
      <w:r>
        <w:rPr>
          <w:rFonts w:ascii="標楷體" w:hAnsi="標楷體" w:eastAsia="標楷體"/>
          <w:sz w:val="28"/>
          <w:szCs w:val="28"/>
        </w:rPr>
        <w:t>申訴人非屬事件當事人，且未經代理或委託；申訴人或被申訴人一方非屬本機關人員（以霸凌事件發生時認定）；或屬應依性別平等工作法提起申訴之案件。</w:t>
      </w:r>
      <w:r>
        <w:rPr>
          <w:rFonts w:eastAsia="標楷體" w:ascii="標楷體" w:hAnsi="標楷體"/>
          <w:sz w:val="28"/>
          <w:szCs w:val="28"/>
        </w:rPr>
        <w:t>3.</w:t>
      </w:r>
      <w:r>
        <w:rPr>
          <w:rFonts w:ascii="標楷體" w:hAnsi="標楷體" w:eastAsia="標楷體"/>
          <w:sz w:val="28"/>
          <w:szCs w:val="28"/>
        </w:rPr>
        <w:t>屬安衛辦法第</w:t>
      </w:r>
      <w:r>
        <w:rPr>
          <w:rFonts w:eastAsia="標楷體" w:ascii="標楷體" w:hAnsi="標楷體"/>
          <w:sz w:val="28"/>
          <w:szCs w:val="28"/>
        </w:rPr>
        <w:t>33</w:t>
      </w:r>
      <w:r>
        <w:rPr>
          <w:rFonts w:ascii="標楷體" w:hAnsi="標楷體" w:eastAsia="標楷體"/>
          <w:sz w:val="28"/>
          <w:szCs w:val="28"/>
        </w:rPr>
        <w:t>條第</w:t>
      </w:r>
      <w:r>
        <w:rPr>
          <w:rFonts w:eastAsia="標楷體" w:ascii="標楷體" w:hAnsi="標楷體"/>
          <w:sz w:val="28"/>
          <w:szCs w:val="28"/>
        </w:rPr>
        <w:t>1</w:t>
      </w:r>
      <w:r>
        <w:rPr>
          <w:rFonts w:ascii="標楷體" w:hAnsi="標楷體" w:eastAsia="標楷體"/>
          <w:sz w:val="28"/>
          <w:szCs w:val="28"/>
        </w:rPr>
        <w:t>項第</w:t>
      </w:r>
      <w:r>
        <w:rPr>
          <w:rFonts w:eastAsia="標楷體" w:ascii="標楷體" w:hAnsi="標楷體"/>
          <w:sz w:val="28"/>
          <w:szCs w:val="28"/>
        </w:rPr>
        <w:t>3</w:t>
      </w:r>
      <w:r>
        <w:rPr>
          <w:rFonts w:ascii="標楷體" w:hAnsi="標楷體" w:eastAsia="標楷體"/>
          <w:sz w:val="28"/>
          <w:szCs w:val="28"/>
        </w:rPr>
        <w:t>款至第</w:t>
      </w:r>
      <w:r>
        <w:rPr>
          <w:rFonts w:eastAsia="標楷體" w:ascii="標楷體" w:hAnsi="標楷體"/>
          <w:sz w:val="28"/>
          <w:szCs w:val="28"/>
        </w:rPr>
        <w:t>6</w:t>
      </w:r>
      <w:r>
        <w:rPr>
          <w:rFonts w:ascii="標楷體" w:hAnsi="標楷體" w:eastAsia="標楷體"/>
          <w:sz w:val="28"/>
          <w:szCs w:val="28"/>
        </w:rPr>
        <w:t>款所定情事時，各機關依同條第</w:t>
      </w:r>
      <w:r>
        <w:rPr>
          <w:rFonts w:eastAsia="標楷體" w:ascii="標楷體" w:hAnsi="標楷體"/>
          <w:sz w:val="28"/>
          <w:szCs w:val="28"/>
        </w:rPr>
        <w:t>3</w:t>
      </w:r>
      <w:r>
        <w:rPr>
          <w:rFonts w:ascii="標楷體" w:hAnsi="標楷體" w:eastAsia="標楷體"/>
          <w:sz w:val="28"/>
          <w:szCs w:val="28"/>
        </w:rPr>
        <w:t>項決定是否受理時，得以召開實體或線上防護委員會會議決定是否受理，或採書面審查方式為之。</w:t>
      </w:r>
    </w:p>
    <w:p>
      <w:pPr>
        <w:pStyle w:val="Style20"/>
        <w:spacing w:lineRule="exact" w:line="520"/>
        <w:ind w:firstLine="602"/>
        <w:jc w:val="distribute"/>
        <w:rPr/>
      </w:pPr>
      <w:r>
        <w:rPr>
          <w:rStyle w:val="Style14"/>
          <w:rFonts w:ascii="標楷體" w:hAnsi="標楷體" w:eastAsia="標楷體"/>
          <w:sz w:val="28"/>
          <w:szCs w:val="28"/>
          <w:u w:val="single"/>
        </w:rPr>
        <w:t xml:space="preserve"> </w:t>
      </w:r>
      <w:r>
        <w:rPr>
          <w:rStyle w:val="Style14"/>
          <w:rFonts w:eastAsia="標楷體" w:ascii="標楷體" w:hAnsi="標楷體"/>
          <w:sz w:val="28"/>
          <w:szCs w:val="28"/>
          <w:u w:val="single"/>
        </w:rPr>
        <w:t>(</w:t>
      </w:r>
      <w:r>
        <w:rPr>
          <w:rStyle w:val="Style14"/>
          <w:rFonts w:ascii="標楷體" w:hAnsi="標楷體" w:eastAsia="標楷體"/>
          <w:sz w:val="28"/>
          <w:szCs w:val="28"/>
          <w:u w:val="single"/>
        </w:rPr>
        <w:t>申訴人姓名</w:t>
      </w:r>
      <w:r>
        <w:rPr>
          <w:rStyle w:val="Style14"/>
          <w:rFonts w:eastAsia="標楷體" w:ascii="標楷體" w:hAnsi="標楷體"/>
          <w:sz w:val="28"/>
          <w:szCs w:val="28"/>
          <w:u w:val="single"/>
        </w:rPr>
        <w:t xml:space="preserve">) </w:t>
      </w:r>
      <w:r>
        <w:rPr>
          <w:rStyle w:val="Style14"/>
          <w:rFonts w:ascii="標楷體" w:hAnsi="標楷體" w:eastAsia="標楷體"/>
          <w:sz w:val="28"/>
          <w:szCs w:val="28"/>
        </w:rPr>
        <w:t>所提職場霸凌申訴</w:t>
      </w:r>
      <w:r>
        <w:rPr>
          <w:rStyle w:val="Style14"/>
          <w:rFonts w:eastAsia="標楷體" w:ascii="標楷體" w:hAnsi="標楷體"/>
          <w:sz w:val="28"/>
          <w:szCs w:val="28"/>
        </w:rPr>
        <w:t>(</w:t>
      </w:r>
      <w:r>
        <w:rPr>
          <w:rStyle w:val="Style14"/>
          <w:rFonts w:ascii="標楷體" w:hAnsi="標楷體" w:eastAsia="標楷體"/>
          <w:sz w:val="28"/>
          <w:szCs w:val="28"/>
        </w:rPr>
        <w:t>申訴書等相關附件資料如後附</w:t>
      </w:r>
      <w:r>
        <w:rPr>
          <w:rStyle w:val="Style14"/>
          <w:rFonts w:eastAsia="標楷體" w:ascii="標楷體" w:hAnsi="標楷體"/>
          <w:sz w:val="28"/>
          <w:szCs w:val="28"/>
        </w:rPr>
        <w:t>)</w:t>
      </w:r>
      <w:r>
        <w:rPr>
          <w:rStyle w:val="Style14"/>
          <w:rFonts w:ascii="標楷體" w:hAnsi="標楷體" w:eastAsia="標楷體"/>
          <w:sz w:val="28"/>
          <w:szCs w:val="28"/>
        </w:rPr>
        <w:t>，經評估屬下列情形：</w:t>
      </w:r>
      <w:r>
        <w:rPr>
          <w:rStyle w:val="Style14"/>
          <w:rFonts w:eastAsia="標楷體" w:ascii="標楷體" w:hAnsi="標楷體"/>
          <w:color w:val="7F7F7F"/>
          <w:sz w:val="28"/>
          <w:szCs w:val="28"/>
        </w:rPr>
        <w:t>(</w:t>
      </w:r>
      <w:r>
        <w:rPr>
          <w:rStyle w:val="Style14"/>
          <w:rFonts w:ascii="標楷體" w:hAnsi="標楷體" w:eastAsia="標楷體"/>
          <w:color w:val="7F7F7F"/>
          <w:sz w:val="28"/>
          <w:szCs w:val="28"/>
        </w:rPr>
        <w:t>由接獲申訴案件機關勾選</w:t>
      </w:r>
      <w:r>
        <w:rPr>
          <w:rStyle w:val="Style14"/>
          <w:rFonts w:eastAsia="標楷體" w:ascii="標楷體" w:hAnsi="標楷體"/>
          <w:color w:val="7F7F7F"/>
          <w:sz w:val="28"/>
          <w:szCs w:val="28"/>
        </w:rPr>
        <w:t>)</w:t>
      </w:r>
    </w:p>
    <w:p>
      <w:pPr>
        <w:pStyle w:val="Style20"/>
        <w:tabs>
          <w:tab w:val="clear" w:pos="480"/>
        </w:tabs>
        <w:spacing w:lineRule="exact" w:line="480"/>
        <w:ind w:left="316" w:hanging="316"/>
        <w:jc w:val="distribute"/>
        <w:rPr/>
      </w:pPr>
      <w:r>
        <w:rPr>
          <w:rStyle w:val="Style14"/>
          <w:rFonts w:ascii="標楷體" w:hAnsi="標楷體" w:eastAsia="標楷體"/>
          <w:sz w:val="28"/>
          <w:szCs w:val="28"/>
        </w:rPr>
        <w:t>□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無第</w:t>
      </w:r>
      <w:r>
        <w:rPr>
          <w:rStyle w:val="Style14"/>
          <w:rFonts w:eastAsia="標楷體" w:ascii="標楷體" w:hAnsi="標楷體"/>
          <w:b/>
          <w:bCs/>
          <w:sz w:val="28"/>
          <w:szCs w:val="28"/>
        </w:rPr>
        <w:t>33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條第</w:t>
      </w:r>
      <w:r>
        <w:rPr>
          <w:rStyle w:val="Style14"/>
          <w:rFonts w:eastAsia="標楷體" w:ascii="標楷體" w:hAnsi="標楷體"/>
          <w:b/>
          <w:bCs/>
          <w:sz w:val="28"/>
          <w:szCs w:val="28"/>
        </w:rPr>
        <w:t>1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項各款情形，應予受理。</w:t>
      </w:r>
    </w:p>
    <w:p>
      <w:pPr>
        <w:pStyle w:val="Style20"/>
        <w:spacing w:lineRule="exact" w:line="480"/>
        <w:jc w:val="distribute"/>
        <w:rPr/>
      </w:pPr>
      <w:r>
        <w:rPr>
          <w:rStyle w:val="Style14"/>
          <w:rFonts w:ascii="標楷體" w:hAnsi="標楷體" w:eastAsia="標楷體"/>
          <w:sz w:val="28"/>
          <w:szCs w:val="28"/>
        </w:rPr>
        <w:t>□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有下列情形之一，應不予受理。</w:t>
      </w:r>
    </w:p>
    <w:p>
      <w:pPr>
        <w:pStyle w:val="Style20"/>
        <w:tabs>
          <w:tab w:val="clear" w:pos="480"/>
        </w:tabs>
        <w:spacing w:lineRule="exact" w:line="480"/>
        <w:ind w:left="1175" w:hanging="700"/>
        <w:jc w:val="distribute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   □</w:t>
      </w:r>
      <w:r>
        <w:rPr>
          <w:rFonts w:ascii="標楷體" w:hAnsi="標楷體" w:eastAsia="標楷體"/>
          <w:sz w:val="28"/>
          <w:szCs w:val="28"/>
        </w:rPr>
        <w:t>非屬職場霸凌事項（限於：</w:t>
      </w:r>
      <w:r>
        <w:rPr>
          <w:rFonts w:eastAsia="標楷體" w:ascii="標楷體" w:hAnsi="標楷體"/>
          <w:sz w:val="28"/>
          <w:szCs w:val="28"/>
        </w:rPr>
        <w:t>1.</w:t>
      </w:r>
      <w:r>
        <w:rPr>
          <w:rFonts w:ascii="標楷體" w:hAnsi="標楷體" w:eastAsia="標楷體"/>
          <w:sz w:val="28"/>
          <w:szCs w:val="28"/>
        </w:rPr>
        <w:t>申訴人非屬事件當事人，且未經代理或委託。</w:t>
      </w:r>
      <w:r>
        <w:rPr>
          <w:rFonts w:eastAsia="標楷體" w:ascii="標楷體" w:hAnsi="標楷體"/>
          <w:sz w:val="28"/>
          <w:szCs w:val="28"/>
        </w:rPr>
        <w:t>2.</w:t>
      </w:r>
      <w:r>
        <w:rPr>
          <w:rFonts w:ascii="標楷體" w:hAnsi="標楷體" w:eastAsia="標楷體"/>
          <w:sz w:val="28"/>
          <w:szCs w:val="28"/>
        </w:rPr>
        <w:t>申訴人或被申訴人一方非屬本機關人員。</w:t>
      </w:r>
      <w:r>
        <w:rPr>
          <w:rFonts w:eastAsia="標楷體" w:ascii="標楷體" w:hAnsi="標楷體"/>
          <w:sz w:val="28"/>
          <w:szCs w:val="28"/>
        </w:rPr>
        <w:t>3.</w:t>
      </w:r>
      <w:r>
        <w:rPr>
          <w:rFonts w:ascii="標楷體" w:hAnsi="標楷體" w:eastAsia="標楷體"/>
          <w:sz w:val="28"/>
          <w:szCs w:val="28"/>
        </w:rPr>
        <w:t>屬應依性別平等工作法提起申訴之案件。）</w:t>
      </w:r>
    </w:p>
    <w:p>
      <w:pPr>
        <w:pStyle w:val="Style20"/>
        <w:tabs>
          <w:tab w:val="clear" w:pos="480"/>
        </w:tabs>
        <w:spacing w:lineRule="exact" w:line="480" w:before="180" w:after="0"/>
        <w:ind w:left="1203" w:hanging="269"/>
        <w:jc w:val="distribute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□</w:t>
      </w:r>
      <w:r>
        <w:rPr>
          <w:rFonts w:ascii="標楷體" w:hAnsi="標楷體" w:eastAsia="標楷體"/>
          <w:sz w:val="28"/>
          <w:szCs w:val="28"/>
        </w:rPr>
        <w:t>申訴人未具真實姓名或足以識別其身分之資訊。</w:t>
      </w:r>
    </w:p>
    <w:p>
      <w:pPr>
        <w:pStyle w:val="Style20"/>
        <w:tabs>
          <w:tab w:val="clear" w:pos="480"/>
        </w:tabs>
        <w:spacing w:lineRule="exact" w:line="480" w:before="180" w:after="0"/>
        <w:ind w:left="1203" w:hanging="269"/>
        <w:jc w:val="distribute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□</w:t>
      </w:r>
      <w:r>
        <w:rPr>
          <w:rFonts w:ascii="標楷體" w:hAnsi="標楷體" w:eastAsia="標楷體"/>
          <w:sz w:val="28"/>
          <w:szCs w:val="28"/>
        </w:rPr>
        <w:t>同一事件已不受理或已作成終局實體處理。</w:t>
      </w:r>
    </w:p>
    <w:p>
      <w:pPr>
        <w:pStyle w:val="Style20"/>
        <w:tabs>
          <w:tab w:val="clear" w:pos="480"/>
        </w:tabs>
        <w:spacing w:lineRule="exact" w:line="480" w:before="180" w:after="0"/>
        <w:ind w:left="1203" w:hanging="269"/>
        <w:jc w:val="distribute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□</w:t>
      </w:r>
      <w:r>
        <w:rPr>
          <w:rFonts w:ascii="標楷體" w:hAnsi="標楷體" w:eastAsia="標楷體"/>
          <w:sz w:val="28"/>
          <w:szCs w:val="28"/>
        </w:rPr>
        <w:t>申訴事件已撤回申訴。</w:t>
      </w:r>
    </w:p>
    <w:p>
      <w:pPr>
        <w:pStyle w:val="Style20"/>
        <w:tabs>
          <w:tab w:val="clear" w:pos="480"/>
        </w:tabs>
        <w:spacing w:lineRule="exact" w:line="480" w:before="180" w:after="0"/>
        <w:ind w:left="1203" w:hanging="269"/>
        <w:jc w:val="distribute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□</w:t>
      </w:r>
      <w:r>
        <w:rPr>
          <w:rFonts w:ascii="標楷體" w:hAnsi="標楷體" w:eastAsia="標楷體"/>
          <w:sz w:val="28"/>
          <w:szCs w:val="28"/>
        </w:rPr>
        <w:t>已逾申訴期限。</w:t>
      </w:r>
    </w:p>
    <w:p>
      <w:pPr>
        <w:pStyle w:val="Style20"/>
        <w:tabs>
          <w:tab w:val="clear" w:pos="480"/>
        </w:tabs>
        <w:spacing w:lineRule="exact" w:line="520" w:before="180" w:after="0"/>
        <w:ind w:left="283" w:hanging="0"/>
        <w:rPr>
          <w:rFonts w:ascii="標楷體" w:hAnsi="標楷體" w:eastAsia="標楷體"/>
          <w:b/>
          <w:b/>
          <w:bCs/>
          <w:sz w:val="28"/>
          <w:szCs w:val="28"/>
        </w:rPr>
      </w:pPr>
      <w:r>
        <w:rPr>
          <w:rFonts w:ascii="標楷體" w:hAnsi="標楷體" w:eastAsia="標楷體"/>
          <w:b/>
          <w:bCs/>
          <w:sz w:val="28"/>
          <w:szCs w:val="28"/>
        </w:rPr>
        <w:t>本人</w:t>
      </w:r>
      <w:r>
        <w:rPr>
          <w:rFonts w:eastAsia="標楷體" w:ascii="標楷體" w:hAnsi="標楷體"/>
          <w:b/>
          <w:bCs/>
          <w:sz w:val="28"/>
          <w:szCs w:val="28"/>
        </w:rPr>
        <w:t>(</w:t>
      </w:r>
      <w:r>
        <w:rPr>
          <w:rFonts w:ascii="標楷體" w:hAnsi="標楷體" w:eastAsia="標楷體"/>
          <w:b/>
          <w:bCs/>
          <w:sz w:val="28"/>
          <w:szCs w:val="28"/>
        </w:rPr>
        <w:t>安全及衛生防護委員會委員</w:t>
      </w:r>
      <w:r>
        <w:rPr>
          <w:rFonts w:eastAsia="標楷體" w:ascii="標楷體" w:hAnsi="標楷體"/>
          <w:b/>
          <w:bCs/>
          <w:sz w:val="28"/>
          <w:szCs w:val="28"/>
        </w:rPr>
        <w:t>)</w:t>
      </w:r>
      <w:r>
        <w:rPr>
          <w:rFonts w:ascii="標楷體" w:hAnsi="標楷體" w:eastAsia="標楷體"/>
          <w:b/>
          <w:bCs/>
          <w:sz w:val="28"/>
          <w:szCs w:val="28"/>
        </w:rPr>
        <w:t>經審閱案附資料，</w:t>
      </w:r>
    </w:p>
    <w:p>
      <w:pPr>
        <w:pStyle w:val="Style20"/>
        <w:tabs>
          <w:tab w:val="clear" w:pos="480"/>
        </w:tabs>
        <w:spacing w:lineRule="exact" w:line="520" w:before="180" w:after="0"/>
        <w:ind w:left="283" w:hanging="0"/>
        <w:rPr/>
      </w:pP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機關評估結果，簽名：</w:t>
      </w:r>
      <w:r>
        <w:rPr>
          <w:rStyle w:val="Style14"/>
          <w:rFonts w:eastAsia="標楷體" w:ascii="標楷體" w:hAnsi="標楷體"/>
          <w:b/>
          <w:bCs/>
          <w:sz w:val="28"/>
          <w:szCs w:val="28"/>
        </w:rPr>
        <w:t>_______________</w:t>
      </w:r>
      <w:r>
        <w:rPr>
          <w:rStyle w:val="Style14"/>
          <w:rFonts w:eastAsia="標楷體" w:ascii="標楷體" w:hAnsi="標楷體"/>
          <w:sz w:val="28"/>
          <w:szCs w:val="28"/>
          <w:u w:val="single"/>
        </w:rPr>
        <w:t xml:space="preserve">  </w:t>
      </w:r>
      <w:r>
        <w:rPr>
          <w:rStyle w:val="Style14"/>
          <w:rFonts w:eastAsia="標楷體" w:ascii="標楷體" w:hAnsi="標楷體"/>
          <w:sz w:val="28"/>
          <w:szCs w:val="28"/>
        </w:rPr>
        <w:t xml:space="preserve">    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margin">
                  <wp:posOffset>160020</wp:posOffset>
                </wp:positionH>
                <wp:positionV relativeFrom="paragraph">
                  <wp:posOffset>50165</wp:posOffset>
                </wp:positionV>
                <wp:extent cx="952500" cy="609600"/>
                <wp:effectExtent l="0" t="0" r="0" b="0"/>
                <wp:wrapSquare wrapText="bothSides"/>
                <wp:docPr id="1" name="文字方塊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09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20"/>
                              <w:spacing w:lineRule="exact" w:line="400"/>
                              <w:rPr>
                                <w:rFonts w:ascii="標楷體" w:hAnsi="標楷體" w:eastAsia="標楷體"/>
                                <w:b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t>同意</w:t>
                            </w:r>
                          </w:p>
                          <w:p>
                            <w:pPr>
                              <w:pStyle w:val="Style20"/>
                              <w:spacing w:lineRule="exact" w:line="400"/>
                              <w:rPr>
                                <w:rFonts w:ascii="標楷體" w:hAnsi="標楷體" w:eastAsia="標楷體"/>
                                <w:b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t>不同意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5pt;height:48pt;mso-wrap-distance-left:0pt;mso-wrap-distance-right:0pt;mso-wrap-distance-top:0pt;mso-wrap-distance-bottom:0pt;margin-top:3.95pt;mso-position-vertical-relative:text;margin-left:12.6pt;mso-position-horizontal-relative:margin">
                <v:textbox>
                  <w:txbxContent>
                    <w:p>
                      <w:pPr>
                        <w:pStyle w:val="Style20"/>
                        <w:spacing w:lineRule="exact" w:line="400"/>
                        <w:rPr>
                          <w:rFonts w:ascii="標楷體" w:hAnsi="標楷體" w:eastAsia="標楷體"/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eastAsia="標楷體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hAnsi="標楷體" w:eastAsia="標楷體"/>
                          <w:b/>
                          <w:bCs/>
                          <w:sz w:val="28"/>
                          <w:szCs w:val="28"/>
                        </w:rPr>
                        <w:t>同意</w:t>
                      </w:r>
                    </w:p>
                    <w:p>
                      <w:pPr>
                        <w:pStyle w:val="Style20"/>
                        <w:spacing w:lineRule="exact" w:line="400"/>
                        <w:rPr>
                          <w:rFonts w:ascii="標楷體" w:hAnsi="標楷體" w:eastAsia="標楷體"/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eastAsia="標楷體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hAnsi="標楷體" w:eastAsia="標楷體"/>
                          <w:b/>
                          <w:bCs/>
                          <w:sz w:val="28"/>
                          <w:szCs w:val="28"/>
                        </w:rPr>
                        <w:t>不同意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800" w:right="1700" w:header="0" w:top="1134" w:footer="0" w:bottom="993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9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註解參照"/>
    <w:basedOn w:val="Style14"/>
    <w:qFormat/>
    <w:rPr>
      <w:sz w:val="18"/>
      <w:szCs w:val="18"/>
    </w:rPr>
  </w:style>
  <w:style w:type="character" w:styleId="Style16">
    <w:name w:val="註解文字 字元"/>
    <w:basedOn w:val="Style14"/>
    <w:qFormat/>
    <w:rPr/>
  </w:style>
  <w:style w:type="character" w:styleId="Style17">
    <w:name w:val="註解主旨 字元"/>
    <w:basedOn w:val="Style16"/>
    <w:qFormat/>
    <w:rPr>
      <w:b/>
      <w:bCs/>
    </w:rPr>
  </w:style>
  <w:style w:type="character" w:styleId="Style18">
    <w:name w:val="頁首 字元"/>
    <w:basedOn w:val="Style14"/>
    <w:qFormat/>
    <w:rPr>
      <w:sz w:val="20"/>
      <w:szCs w:val="20"/>
    </w:rPr>
  </w:style>
  <w:style w:type="character" w:styleId="Style19">
    <w:name w:val="頁尾 字元"/>
    <w:basedOn w:val="Style14"/>
    <w:qFormat/>
    <w:rPr>
      <w:sz w:val="20"/>
      <w:szCs w:val="20"/>
    </w:rPr>
  </w:style>
  <w:style w:type="paragraph" w:styleId="Style20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21">
    <w:name w:val="註解文字"/>
    <w:basedOn w:val="Style20"/>
    <w:qFormat/>
    <w:pPr>
      <w:suppressAutoHyphens w:val="true"/>
    </w:pPr>
    <w:rPr/>
  </w:style>
  <w:style w:type="paragraph" w:styleId="Style22">
    <w:name w:val="註解主旨"/>
    <w:basedOn w:val="Style21"/>
    <w:next w:val="Style21"/>
    <w:qFormat/>
    <w:pPr>
      <w:suppressAutoHyphens w:val="true"/>
    </w:pPr>
    <w:rPr>
      <w:b/>
      <w:bCs/>
    </w:rPr>
  </w:style>
  <w:style w:type="paragraph" w:styleId="Style23">
    <w:name w:val="Header"/>
    <w:basedOn w:val="Style20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Footer"/>
    <w:basedOn w:val="Style20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5">
    <w:name w:val="外框內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NDC_ODF_Application_Tools/2.0.2$Windows_X86_64 LibreOffice_project/c2aef257b421fc89732e65db8501f993adb40c83</Application>
  <Pages>1</Pages>
  <Words>104</Words>
  <CharactersWithSpaces>702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2025-09-08T08:45:00Z</dcterms:created>
  <dc:creator>洪沂珊</dc:creator>
  <dc:description/>
  <dc:language>zh-TW</dc:language>
  <cp:lastModifiedBy>洪沂珊</cp:lastModifiedBy>
  <dcterms:modified xsi:type="dcterms:W3CDTF">2025-09-09T01:48:00Z</dcterms:modified>
  <cp:revision>5</cp:revision>
  <dc:subject/>
  <dc:title/>
</cp:coreProperties>
</file>